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EA" w:rsidRDefault="000671EA">
      <w:pPr>
        <w:spacing w:line="360" w:lineRule="auto"/>
        <w:jc w:val="both"/>
        <w:rPr>
          <w:rFonts w:ascii="Times" w:hAnsi="Times"/>
          <w:b/>
        </w:rPr>
      </w:pPr>
      <w:r>
        <w:rPr>
          <w:rFonts w:ascii="Times" w:hAnsi="Times"/>
          <w:b/>
        </w:rPr>
        <w:t>Planilla de Inscripción Docente</w:t>
      </w:r>
    </w:p>
    <w:p w:rsidR="000671EA" w:rsidRDefault="000671EA">
      <w:pPr>
        <w:spacing w:line="360" w:lineRule="auto"/>
        <w:jc w:val="both"/>
        <w:rPr>
          <w:rFonts w:ascii="Times" w:hAnsi="Times"/>
          <w:b/>
        </w:rPr>
      </w:pPr>
      <w:r>
        <w:rPr>
          <w:rFonts w:ascii="Times" w:hAnsi="Times"/>
          <w:b/>
        </w:rPr>
        <w:t>GICS 2017-2018</w:t>
      </w:r>
    </w:p>
    <w:p w:rsidR="000671EA" w:rsidRDefault="000671EA">
      <w:pPr>
        <w:spacing w:line="360" w:lineRule="auto"/>
        <w:jc w:val="both"/>
        <w:rPr>
          <w:rFonts w:ascii="Times" w:hAnsi="Times"/>
        </w:rPr>
      </w:pPr>
    </w:p>
    <w:p w:rsidR="000671EA" w:rsidRDefault="000671EA">
      <w:pPr>
        <w:spacing w:line="360" w:lineRule="auto"/>
        <w:jc w:val="both"/>
        <w:rPr>
          <w:rFonts w:ascii="Times" w:hAnsi="Times"/>
        </w:rPr>
      </w:pPr>
      <w:r>
        <w:rPr>
          <w:rFonts w:ascii="Times" w:hAnsi="Times"/>
        </w:rPr>
        <w:t>Nombre y Apellido del Director: Eduardo Cartoccio</w:t>
      </w:r>
    </w:p>
    <w:p w:rsidR="000671EA" w:rsidRDefault="000671EA">
      <w:pPr>
        <w:spacing w:line="360" w:lineRule="auto"/>
        <w:jc w:val="both"/>
        <w:rPr>
          <w:rFonts w:ascii="Times" w:hAnsi="Times"/>
        </w:rPr>
      </w:pPr>
      <w:r>
        <w:rPr>
          <w:rFonts w:ascii="Times" w:hAnsi="Times"/>
        </w:rPr>
        <w:t>Materia/Cátedra/Cargo/Dedicación: Teoría y Prácticas de la Comunicación I. Cátedra Entel. Ayudante de Primera, dedicación semiexlusiva</w:t>
      </w:r>
    </w:p>
    <w:p w:rsidR="000671EA" w:rsidRDefault="000671EA">
      <w:pPr>
        <w:spacing w:line="360" w:lineRule="auto"/>
        <w:jc w:val="both"/>
        <w:rPr>
          <w:rFonts w:ascii="Times" w:hAnsi="Times"/>
        </w:rPr>
      </w:pPr>
      <w:r>
        <w:rPr>
          <w:rFonts w:ascii="Times" w:hAnsi="Times"/>
        </w:rPr>
        <w:t>e-mail: educartoccio@gmail.com</w:t>
      </w:r>
    </w:p>
    <w:p w:rsidR="000671EA" w:rsidRDefault="000671EA" w:rsidP="00D93F7C">
      <w:pPr>
        <w:spacing w:line="360" w:lineRule="auto"/>
        <w:rPr>
          <w:rFonts w:ascii="Times" w:hAnsi="Times"/>
        </w:rPr>
      </w:pPr>
      <w:r>
        <w:rPr>
          <w:rFonts w:ascii="Times" w:hAnsi="Times"/>
        </w:rPr>
        <w:t>Título del GIC: Discurso cinematográfico e imaginarios de la vida cotidiana. Familia, juventud, género y sexualidad</w:t>
      </w:r>
      <w:r>
        <w:rPr>
          <w:rFonts w:ascii="Times" w:hAnsi="Times"/>
        </w:rPr>
        <w:br/>
      </w:r>
    </w:p>
    <w:p w:rsidR="000671EA" w:rsidRDefault="000671EA">
      <w:pPr>
        <w:spacing w:line="360" w:lineRule="auto"/>
        <w:jc w:val="both"/>
        <w:rPr>
          <w:rFonts w:ascii="Times" w:hAnsi="Times"/>
        </w:rPr>
      </w:pPr>
      <w:r>
        <w:rPr>
          <w:rFonts w:ascii="Times" w:hAnsi="Times"/>
        </w:rPr>
        <w:t>Palabras Clave: (3) CINE, VIDA COTIDIANA, IMAGINARIOS</w:t>
      </w:r>
    </w:p>
    <w:p w:rsidR="000671EA" w:rsidRDefault="000671EA">
      <w:pPr>
        <w:spacing w:line="360" w:lineRule="auto"/>
        <w:jc w:val="both"/>
        <w:rPr>
          <w:rFonts w:ascii="Times" w:hAnsi="Times"/>
        </w:rPr>
      </w:pPr>
    </w:p>
    <w:p w:rsidR="000671EA" w:rsidRPr="00FE5645" w:rsidRDefault="000671EA">
      <w:pPr>
        <w:spacing w:line="360" w:lineRule="auto"/>
        <w:jc w:val="both"/>
        <w:rPr>
          <w:rFonts w:ascii="Times" w:hAnsi="Times"/>
          <w:b/>
        </w:rPr>
      </w:pPr>
      <w:r w:rsidRPr="00FE5645">
        <w:rPr>
          <w:rFonts w:ascii="Times" w:hAnsi="Times"/>
          <w:b/>
        </w:rPr>
        <w:t xml:space="preserve">Día y horario tentativo de encuentros: </w:t>
      </w:r>
    </w:p>
    <w:p w:rsidR="000671EA" w:rsidRDefault="000671EA">
      <w:pPr>
        <w:spacing w:line="360" w:lineRule="auto"/>
        <w:jc w:val="both"/>
        <w:rPr>
          <w:rFonts w:ascii="Times" w:hAnsi="Times"/>
        </w:rPr>
      </w:pPr>
    </w:p>
    <w:p w:rsidR="000671EA" w:rsidRDefault="000671EA">
      <w:pPr>
        <w:spacing w:line="360" w:lineRule="auto"/>
        <w:jc w:val="both"/>
        <w:rPr>
          <w:rFonts w:ascii="Times" w:hAnsi="Times"/>
        </w:rPr>
      </w:pPr>
      <w:r>
        <w:rPr>
          <w:rFonts w:ascii="Times" w:hAnsi="Times"/>
        </w:rPr>
        <w:t>Jueves de 19 a 21 hs. Encuentros presenciales quincenales.</w:t>
      </w:r>
    </w:p>
    <w:p w:rsidR="000671EA" w:rsidRDefault="000671EA">
      <w:pPr>
        <w:spacing w:line="360" w:lineRule="auto"/>
        <w:jc w:val="both"/>
        <w:rPr>
          <w:rFonts w:ascii="Times" w:hAnsi="Times"/>
        </w:rPr>
      </w:pPr>
    </w:p>
    <w:p w:rsidR="000671EA" w:rsidRPr="00FE5645" w:rsidRDefault="000671EA">
      <w:pPr>
        <w:spacing w:line="360" w:lineRule="auto"/>
        <w:jc w:val="both"/>
        <w:rPr>
          <w:rFonts w:ascii="Times" w:hAnsi="Times"/>
          <w:b/>
        </w:rPr>
      </w:pPr>
      <w:r w:rsidRPr="00FE5645">
        <w:rPr>
          <w:rFonts w:ascii="Times" w:hAnsi="Times"/>
          <w:b/>
        </w:rPr>
        <w:t xml:space="preserve">Descripción breve de la dinámica de trabajo prevista a fin de responder a las expectativas de los estudiantes: </w:t>
      </w:r>
    </w:p>
    <w:p w:rsidR="000671EA" w:rsidRDefault="000671EA">
      <w:pPr>
        <w:spacing w:line="360" w:lineRule="auto"/>
        <w:jc w:val="both"/>
        <w:rPr>
          <w:rFonts w:ascii="Times" w:hAnsi="Times"/>
        </w:rPr>
      </w:pPr>
    </w:p>
    <w:p w:rsidR="000671EA" w:rsidRDefault="000671EA" w:rsidP="00661BFE">
      <w:pPr>
        <w:spacing w:line="360" w:lineRule="auto"/>
        <w:ind w:firstLine="708"/>
        <w:jc w:val="both"/>
        <w:rPr>
          <w:rFonts w:ascii="Times" w:hAnsi="Times"/>
        </w:rPr>
      </w:pPr>
      <w:r>
        <w:rPr>
          <w:rFonts w:ascii="Times" w:hAnsi="Times"/>
        </w:rPr>
        <w:t xml:space="preserve">Se proponen encuentros presenciales quincenales con exposición de temas y avances de las investigaciones de los tesistas. Además de la guía teórica y metodológica del director del grupo, se busca estimular el intercambio, diálogo y debate entre los tesistas acerca de los enfoques, temáticas y metodologías propuestas. También se propondrán las formas de contacto virtual que se consideren más adecuadas para la dinámica comunicacional del grupo, como charlas grupales a través de Skype y/o conformación de un grupo de Facebook. </w:t>
      </w:r>
    </w:p>
    <w:p w:rsidR="000671EA" w:rsidRDefault="000671EA" w:rsidP="00661BFE">
      <w:pPr>
        <w:spacing w:line="360" w:lineRule="auto"/>
        <w:ind w:firstLine="708"/>
        <w:jc w:val="both"/>
        <w:rPr>
          <w:rFonts w:ascii="Times" w:hAnsi="Times"/>
        </w:rPr>
      </w:pPr>
      <w:r>
        <w:rPr>
          <w:rFonts w:ascii="Times" w:hAnsi="Times"/>
        </w:rPr>
        <w:t>Se apoyará la presentación de trabajos de tesistas en jornadas académicas y en distintos ámbitos donde puedan presentar trabajos relaciones con su investigación.</w:t>
      </w:r>
    </w:p>
    <w:p w:rsidR="000671EA" w:rsidRDefault="000671EA">
      <w:pPr>
        <w:spacing w:line="360" w:lineRule="auto"/>
        <w:jc w:val="both"/>
        <w:rPr>
          <w:rFonts w:ascii="Times" w:hAnsi="Times"/>
        </w:rPr>
      </w:pPr>
    </w:p>
    <w:p w:rsidR="000671EA" w:rsidRPr="00FE5645" w:rsidRDefault="000671EA">
      <w:pPr>
        <w:spacing w:line="360" w:lineRule="auto"/>
        <w:jc w:val="both"/>
        <w:rPr>
          <w:rFonts w:ascii="Times" w:hAnsi="Times"/>
          <w:b/>
        </w:rPr>
      </w:pPr>
      <w:r w:rsidRPr="00FE5645">
        <w:rPr>
          <w:rFonts w:ascii="Times" w:hAnsi="Times"/>
          <w:b/>
        </w:rPr>
        <w:t xml:space="preserve">Descripción de la línea de trabajo </w:t>
      </w:r>
    </w:p>
    <w:p w:rsidR="000671EA" w:rsidRDefault="000671EA">
      <w:pPr>
        <w:spacing w:line="360" w:lineRule="auto"/>
        <w:jc w:val="both"/>
        <w:rPr>
          <w:rFonts w:ascii="Times" w:hAnsi="Times"/>
        </w:rPr>
      </w:pPr>
    </w:p>
    <w:p w:rsidR="000671EA" w:rsidRDefault="000671EA">
      <w:pPr>
        <w:spacing w:line="360" w:lineRule="auto"/>
        <w:ind w:firstLine="708"/>
        <w:jc w:val="both"/>
        <w:rPr>
          <w:rFonts w:ascii="Times" w:hAnsi="Times"/>
        </w:rPr>
      </w:pPr>
      <w:r>
        <w:rPr>
          <w:rFonts w:ascii="Times" w:hAnsi="Times"/>
        </w:rPr>
        <w:t>El Grupo de Investigación se propone abordar la construcción cinematográfica de los imaginarios de la vida cotidiana poniendo el foco en las representaciones de la vida familiar, la juventud, las relaciones de género y sexualidad. Consideramos al discurso cinematográfico como un potente artefacto simbólico que contribuye, desde su específica productividad semiótica, a la conformación de los imaginarios de la vida cotidiana en las sociedades mediatizadas.  Desde esta perspectiva se descarta la idea de que las representaciones o figuraciones cinematográficas sean meras copias o reflejos de otras realidades sociales consolidadas y se las entiende en cambio como intervinientes activas en la conformación del “mundo de significaciones” que configura la realidad social (Castoriadis, 1999). Así, el ámbito del espacio doméstico y las interacciones habituales que tienen lugar en él, los rituales de la vida diaria, las pautas generacionales, los códigos de seducción, las modas, los estilos de vida, las pautas de interacción entre los sexos, las normas de género, encuentran en el discurso cinematográfico, antes que un espejo en el cual reflejarse, un medio de reelaboración y transformación continua en el marco de relaciones de poder que atraviesan a la sociedad en cada contexto histórico determinado.</w:t>
      </w:r>
    </w:p>
    <w:p w:rsidR="000671EA" w:rsidRDefault="000671EA">
      <w:pPr>
        <w:spacing w:line="360" w:lineRule="auto"/>
        <w:ind w:firstLine="708"/>
        <w:jc w:val="both"/>
        <w:rPr>
          <w:rFonts w:ascii="Times" w:hAnsi="Times"/>
        </w:rPr>
      </w:pPr>
      <w:r>
        <w:rPr>
          <w:rFonts w:ascii="Times" w:hAnsi="Times"/>
        </w:rPr>
        <w:t>El ámbito prereflexivo de la vida cotidiana, espacio clave de la experiencia social para comprender la configuración de los modos de vida y los procesos de subjetivación que se desarrollan en cada momento histórico, es interpretado por el discurso cinematográfico a través de un complejo proceso selectivo y constructivo. A su vez, el análisis de este discurso supone otra instancia de interpretación, un metadiscurso, en el que se asumen las apuestas por la comprensión de las significaciones producidas en concretas encrucijadas históricas, las  cuales se revierten a su vez, como señalamos antes, en ese mundo común y compartido de significaciones que conforman el suelo inadvertido de la vida cotidiana En el plano de las representaciones de la vida cotidiana, ya sea que se tome al filme como “fuente de la historia” (Ferro, 1980, Sorlin, 1985) o como integrante de modalidades de representación que se suceden en la historia del propio medio (Berardi, 2006), su análisis supone siempre un vínculo (problemático, complejo), entre las estructuras textuales audiovisuales  que lo componen y el momento histórico de su producción.</w:t>
      </w:r>
    </w:p>
    <w:p w:rsidR="000671EA" w:rsidRDefault="000671EA">
      <w:pPr>
        <w:spacing w:line="360" w:lineRule="auto"/>
        <w:ind w:firstLine="708"/>
        <w:jc w:val="both"/>
        <w:rPr>
          <w:rFonts w:ascii="Times" w:hAnsi="Times"/>
        </w:rPr>
      </w:pPr>
      <w:r>
        <w:rPr>
          <w:rFonts w:ascii="Times" w:hAnsi="Times"/>
        </w:rPr>
        <w:t>Desde el planteo que estamos realizando se comprende la intención de esta propuesta en colaborar con la superación de los enfoques “reflexionistas” de la relación entre discurso cinematográfico y contexto social  que constituyen una traba epistemológica frecuente en la elaboración de las tesinas de grado. También nos proponemos ayudar a los tesistas a superar las limitaciones del enfoque que aborda los componentes temáticos y las estructuras narrativas de los problemas investigados en un nivel de análisis globalmente transemiótico, sin tomar en consideración la materialidad significante específica del discurso cinematográfico y audiovisual.</w:t>
      </w:r>
    </w:p>
    <w:p w:rsidR="000671EA" w:rsidRDefault="000671EA">
      <w:pPr>
        <w:spacing w:line="360" w:lineRule="auto"/>
        <w:ind w:firstLine="708"/>
        <w:jc w:val="both"/>
      </w:pPr>
      <w:r>
        <w:rPr>
          <w:rFonts w:ascii="Times" w:hAnsi="Times"/>
        </w:rPr>
        <w:t xml:space="preserve">Proponemos esta amplia zona de indagación tanto para los filmes de ficción como para los films documentales, en tanto en ambos casos se construye una representación y se producen una interpretación de las temáticas o problemáticas específicas que trabajan. Asimismo, también pueden tener lugar en nuestra propuesta proyectos de tesinas sobre programas televisión de ficción o documentales. </w:t>
      </w:r>
    </w:p>
    <w:p w:rsidR="000671EA" w:rsidRDefault="000671EA">
      <w:pPr>
        <w:spacing w:line="360" w:lineRule="auto"/>
        <w:jc w:val="both"/>
      </w:pPr>
      <w:r>
        <w:rPr>
          <w:rFonts w:ascii="Times" w:hAnsi="Times"/>
        </w:rPr>
        <w:tab/>
        <w:t xml:space="preserve">El abordaje de la problemática a trabajar en nuestro GIC supone la integración de saberes teóricos y metodológicos provenientes de distintas disciplinas y campos de estudio como los Estudios Culturales, las investigaciones sobre imaginarios sociales (Castoriadis, Baczco), los estudios sobre cine (desde enfoques clásicos de teoría del cine como los de Eisenstein y Bazin, hasta los abordajes semióticos y narratológicos contemporáneos), los estudios de cine feministas y con perspectiva de género (Mulvey, de Lauretis, Silverman), la sociología de la vida cotidiana y la historia de las mentalidades. </w:t>
      </w:r>
    </w:p>
    <w:p w:rsidR="000671EA" w:rsidRDefault="000671EA">
      <w:pPr>
        <w:spacing w:line="360" w:lineRule="auto"/>
        <w:jc w:val="both"/>
        <w:rPr>
          <w:rFonts w:ascii="Times" w:hAnsi="Times"/>
        </w:rPr>
      </w:pPr>
    </w:p>
    <w:p w:rsidR="000671EA" w:rsidRDefault="000671EA">
      <w:pPr>
        <w:spacing w:line="360" w:lineRule="auto"/>
        <w:jc w:val="both"/>
        <w:rPr>
          <w:rFonts w:ascii="Times" w:hAnsi="Times"/>
        </w:rPr>
      </w:pPr>
    </w:p>
    <w:p w:rsidR="000671EA" w:rsidRPr="00FE5645" w:rsidRDefault="000671EA">
      <w:pPr>
        <w:spacing w:line="360" w:lineRule="auto"/>
        <w:jc w:val="both"/>
        <w:rPr>
          <w:rFonts w:ascii="Times" w:hAnsi="Times"/>
          <w:b/>
        </w:rPr>
      </w:pPr>
      <w:r w:rsidRPr="00FE5645">
        <w:rPr>
          <w:rFonts w:ascii="Times" w:hAnsi="Times"/>
          <w:b/>
        </w:rPr>
        <w:t>Bibliografía inicial</w:t>
      </w:r>
    </w:p>
    <w:p w:rsidR="000671EA" w:rsidRDefault="000671EA">
      <w:pPr>
        <w:spacing w:line="360" w:lineRule="auto"/>
        <w:jc w:val="both"/>
      </w:pPr>
      <w:bookmarkStart w:id="0" w:name="_GoBack"/>
      <w:bookmarkEnd w:id="0"/>
      <w:r>
        <w:rPr>
          <w:b/>
          <w:i/>
        </w:rPr>
        <w:t>Amado, Ana; Domínguez, Nora</w:t>
      </w:r>
      <w:r>
        <w:t xml:space="preserve"> (2004), </w:t>
      </w:r>
      <w:r>
        <w:rPr>
          <w:i/>
        </w:rPr>
        <w:t>Lazos de familia. Herencias, cuerpos, ficciones</w:t>
      </w:r>
      <w:r>
        <w:t>, Buenos Aires, Paidós.</w:t>
      </w:r>
    </w:p>
    <w:p w:rsidR="000671EA" w:rsidRDefault="000671EA">
      <w:pPr>
        <w:spacing w:line="360" w:lineRule="auto"/>
        <w:jc w:val="both"/>
        <w:rPr>
          <w:iCs/>
        </w:rPr>
      </w:pPr>
      <w:r>
        <w:rPr>
          <w:b/>
          <w:i/>
          <w:iCs/>
        </w:rPr>
        <w:t>Ariés, Philippe, Duby, Georges</w:t>
      </w:r>
      <w:r>
        <w:rPr>
          <w:iCs/>
        </w:rPr>
        <w:t xml:space="preserve"> (2001), </w:t>
      </w:r>
      <w:r>
        <w:rPr>
          <w:i/>
          <w:iCs/>
        </w:rPr>
        <w:t>Historia de la vida privada, 5. De la Primera Guerra Mundial hasta nuestros días,</w:t>
      </w:r>
      <w:r>
        <w:rPr>
          <w:iCs/>
        </w:rPr>
        <w:t xml:space="preserve"> Madrid, Taurus.</w:t>
      </w:r>
    </w:p>
    <w:p w:rsidR="000671EA" w:rsidRDefault="000671EA">
      <w:pPr>
        <w:spacing w:line="360" w:lineRule="auto"/>
        <w:jc w:val="both"/>
        <w:rPr>
          <w:iCs/>
        </w:rPr>
      </w:pPr>
      <w:r w:rsidRPr="00FE5645">
        <w:rPr>
          <w:b/>
          <w:i/>
          <w:iCs/>
        </w:rPr>
        <w:t>Baczko, Bronislaw</w:t>
      </w:r>
      <w:r>
        <w:rPr>
          <w:iCs/>
        </w:rPr>
        <w:t xml:space="preserve"> (1999), </w:t>
      </w:r>
      <w:r w:rsidRPr="00FE5645">
        <w:rPr>
          <w:i/>
          <w:iCs/>
        </w:rPr>
        <w:t>Los imaginarios sociales. Memorias y esperanzas colectivas</w:t>
      </w:r>
      <w:r>
        <w:rPr>
          <w:iCs/>
        </w:rPr>
        <w:t>, Buenos Aires, Nueva Visión.</w:t>
      </w:r>
    </w:p>
    <w:p w:rsidR="000671EA" w:rsidRDefault="000671EA">
      <w:pPr>
        <w:spacing w:line="360" w:lineRule="auto"/>
        <w:jc w:val="both"/>
      </w:pPr>
      <w:r>
        <w:rPr>
          <w:b/>
          <w:i/>
        </w:rPr>
        <w:t>Benjamin, Walter</w:t>
      </w:r>
      <w:r>
        <w:t xml:space="preserve"> (2005), </w:t>
      </w:r>
      <w:r>
        <w:rPr>
          <w:i/>
        </w:rPr>
        <w:t>El libro de los pasajes</w:t>
      </w:r>
      <w:r>
        <w:t>, Madrid, Akal.</w:t>
      </w:r>
    </w:p>
    <w:p w:rsidR="000671EA" w:rsidRDefault="000671EA">
      <w:pPr>
        <w:spacing w:line="360" w:lineRule="auto"/>
        <w:jc w:val="both"/>
      </w:pPr>
      <w:r>
        <w:rPr>
          <w:b/>
          <w:i/>
        </w:rPr>
        <w:t>Berardi,  Mario</w:t>
      </w:r>
      <w:r>
        <w:t xml:space="preserve"> (2006), </w:t>
      </w:r>
      <w:r>
        <w:rPr>
          <w:i/>
        </w:rPr>
        <w:t>La vida imaginada. Vida cotidiana y cine argentino 1933-1970</w:t>
      </w:r>
      <w:r>
        <w:t>, Buenos Aires, El jilguero.</w:t>
      </w:r>
    </w:p>
    <w:p w:rsidR="000671EA" w:rsidRDefault="000671EA">
      <w:pPr>
        <w:spacing w:line="360" w:lineRule="auto"/>
        <w:jc w:val="both"/>
      </w:pPr>
      <w:r>
        <w:rPr>
          <w:b/>
          <w:i/>
        </w:rPr>
        <w:t>Cartoccio, Eduardo</w:t>
      </w:r>
      <w:r>
        <w:t xml:space="preserve"> (2011), </w:t>
      </w:r>
      <w:r>
        <w:rPr>
          <w:i/>
        </w:rPr>
        <w:t>El mundo de los hijos. Representaciones familiares y subjetividades juveniles en el Nuevo Cine Argentino (1996-2005)</w:t>
      </w:r>
      <w:r>
        <w:t>, Tesis de Doctorados en Ciencias Sociales, Facultad de Ciencias Sociales, UBA, mimeo.</w:t>
      </w:r>
    </w:p>
    <w:p w:rsidR="000671EA" w:rsidRDefault="000671EA">
      <w:pPr>
        <w:spacing w:before="100" w:after="100" w:line="360" w:lineRule="auto"/>
        <w:jc w:val="both"/>
      </w:pPr>
      <w:r>
        <w:rPr>
          <w:b/>
          <w:i/>
        </w:rPr>
        <w:t>Cartoccio, Eduardo</w:t>
      </w:r>
      <w:r>
        <w:t xml:space="preserve"> (2016), </w:t>
      </w:r>
      <w:r>
        <w:rPr>
          <w:i/>
        </w:rPr>
        <w:t>Modos de salir del hogar paterno. Representaciones familiares y derivas juveniles en el Nuevo Cine Argentino 1996-2005</w:t>
      </w:r>
      <w:r>
        <w:t>, Buenos Aires, Libraria.</w:t>
      </w:r>
    </w:p>
    <w:p w:rsidR="000671EA" w:rsidRDefault="000671EA">
      <w:pPr>
        <w:spacing w:line="360" w:lineRule="auto"/>
        <w:contextualSpacing/>
        <w:jc w:val="both"/>
      </w:pPr>
      <w:r>
        <w:rPr>
          <w:b/>
          <w:i/>
        </w:rPr>
        <w:t>Castoriadis, Cornelius</w:t>
      </w:r>
      <w:r>
        <w:t xml:space="preserve"> (1999), </w:t>
      </w:r>
      <w:r>
        <w:rPr>
          <w:i/>
        </w:rPr>
        <w:t xml:space="preserve">La institución imaginaria de la sociedad, </w:t>
      </w:r>
      <w:r>
        <w:t>Vol. 2</w:t>
      </w:r>
      <w:r>
        <w:rPr>
          <w:i/>
        </w:rPr>
        <w:t>, El imaginario social y la institución</w:t>
      </w:r>
      <w:r>
        <w:t>,  Buenos Aires, Tusquets</w:t>
      </w:r>
    </w:p>
    <w:p w:rsidR="000671EA" w:rsidRDefault="000671EA">
      <w:pPr>
        <w:spacing w:line="360" w:lineRule="auto"/>
        <w:jc w:val="both"/>
      </w:pPr>
      <w:r>
        <w:rPr>
          <w:b/>
          <w:i/>
        </w:rPr>
        <w:t>Casetti, Francesco; Di Chio, Federico</w:t>
      </w:r>
      <w:r>
        <w:t xml:space="preserve"> (1991); </w:t>
      </w:r>
      <w:r>
        <w:rPr>
          <w:i/>
        </w:rPr>
        <w:t>Cómo analizar un film</w:t>
      </w:r>
      <w:r>
        <w:t>, Barcelona, Paidós.</w:t>
      </w:r>
    </w:p>
    <w:p w:rsidR="000671EA" w:rsidRDefault="000671EA">
      <w:pPr>
        <w:spacing w:line="360" w:lineRule="auto"/>
        <w:contextualSpacing/>
        <w:jc w:val="both"/>
      </w:pPr>
      <w:r>
        <w:rPr>
          <w:b/>
          <w:i/>
        </w:rPr>
        <w:t>Cavell, Stanley</w:t>
      </w:r>
      <w:r>
        <w:t xml:space="preserve"> (1999);</w:t>
      </w:r>
      <w:r>
        <w:rPr>
          <w:i/>
        </w:rPr>
        <w:t xml:space="preserve"> La búsqueda de la felicidad. La comedia de enredo matrimonial en Hollywood</w:t>
      </w:r>
      <w:r>
        <w:t>, Barcelona, Paidós.</w:t>
      </w:r>
    </w:p>
    <w:p w:rsidR="000671EA" w:rsidRDefault="000671EA">
      <w:pPr>
        <w:spacing w:line="360" w:lineRule="auto"/>
        <w:jc w:val="both"/>
      </w:pPr>
      <w:r>
        <w:rPr>
          <w:b/>
          <w:i/>
        </w:rPr>
        <w:t>Chaneton, July</w:t>
      </w:r>
      <w:r>
        <w:t xml:space="preserve"> (2007), </w:t>
      </w:r>
      <w:r>
        <w:rPr>
          <w:i/>
        </w:rPr>
        <w:t>Género, poder y discursos sociales</w:t>
      </w:r>
      <w:r>
        <w:t>, Buenos Aires, Eudeba.</w:t>
      </w:r>
    </w:p>
    <w:p w:rsidR="000671EA" w:rsidRDefault="000671EA">
      <w:pPr>
        <w:spacing w:line="360" w:lineRule="auto"/>
        <w:jc w:val="both"/>
      </w:pPr>
      <w:r>
        <w:rPr>
          <w:b/>
          <w:i/>
        </w:rPr>
        <w:t xml:space="preserve">Chaneton, July </w:t>
      </w:r>
      <w:r>
        <w:t>(comp.)</w:t>
      </w:r>
      <w:r>
        <w:rPr>
          <w:b/>
        </w:rPr>
        <w:t xml:space="preserve"> </w:t>
      </w:r>
      <w:r>
        <w:t>(2015),</w:t>
      </w:r>
      <w:r>
        <w:rPr>
          <w:b/>
        </w:rPr>
        <w:t xml:space="preserve"> </w:t>
      </w:r>
      <w:r>
        <w:rPr>
          <w:b/>
          <w:i/>
        </w:rPr>
        <w:t>Modos de vida, resistencias e invención</w:t>
      </w:r>
      <w:r>
        <w:rPr>
          <w:b/>
        </w:rPr>
        <w:t xml:space="preserve">, </w:t>
      </w:r>
      <w:r>
        <w:t>Buenos Aires, La Parte Maldita.</w:t>
      </w:r>
    </w:p>
    <w:p w:rsidR="000671EA" w:rsidRDefault="000671EA">
      <w:pPr>
        <w:spacing w:line="360" w:lineRule="auto"/>
        <w:jc w:val="both"/>
      </w:pPr>
      <w:r>
        <w:rPr>
          <w:b/>
          <w:i/>
        </w:rPr>
        <w:t>Cosse, Isabella</w:t>
      </w:r>
      <w:r>
        <w:t xml:space="preserve"> (2006); </w:t>
      </w:r>
      <w:r>
        <w:rPr>
          <w:i/>
        </w:rPr>
        <w:t>Estigmas de nacimiento. Peronismo y orden familiar 1945-1955</w:t>
      </w:r>
      <w:r>
        <w:t>, Buenos Aires, Fondo de Cultura Económica.</w:t>
      </w:r>
    </w:p>
    <w:p w:rsidR="000671EA" w:rsidRDefault="000671EA">
      <w:pPr>
        <w:spacing w:line="360" w:lineRule="auto"/>
        <w:jc w:val="both"/>
        <w:rPr>
          <w:rFonts w:ascii="Arial" w:hAnsi="Arial" w:cs="Arial"/>
          <w:b/>
          <w:bCs/>
          <w:color w:val="000000"/>
          <w:sz w:val="27"/>
          <w:szCs w:val="27"/>
          <w:highlight w:val="white"/>
        </w:rPr>
      </w:pPr>
      <w:r>
        <w:rPr>
          <w:b/>
          <w:i/>
        </w:rPr>
        <w:t>Cosse, Isabella</w:t>
      </w:r>
      <w:r>
        <w:t xml:space="preserve"> (2010), </w:t>
      </w:r>
      <w:r>
        <w:rPr>
          <w:i/>
        </w:rPr>
        <w:t>Pareja, sexualidad y familia en los años sesenta. Una revolución discreta en Buenos Aires</w:t>
      </w:r>
      <w:r>
        <w:t>, Buenos Aires, Siglo XXI</w:t>
      </w:r>
      <w:r>
        <w:rPr>
          <w:rFonts w:ascii="Arial" w:hAnsi="Arial" w:cs="Arial"/>
          <w:b/>
          <w:bCs/>
          <w:color w:val="000000"/>
          <w:sz w:val="27"/>
          <w:szCs w:val="27"/>
          <w:shd w:val="clear" w:color="auto" w:fill="FFFFFF"/>
        </w:rPr>
        <w:t>.</w:t>
      </w:r>
    </w:p>
    <w:p w:rsidR="000671EA" w:rsidRDefault="000671EA">
      <w:pPr>
        <w:spacing w:line="360" w:lineRule="auto"/>
        <w:jc w:val="both"/>
      </w:pPr>
      <w:r>
        <w:rPr>
          <w:b/>
          <w:i/>
        </w:rPr>
        <w:t xml:space="preserve">de Lauretis, Teresa </w:t>
      </w:r>
      <w:r>
        <w:t xml:space="preserve">(1984), </w:t>
      </w:r>
      <w:r>
        <w:rPr>
          <w:i/>
        </w:rPr>
        <w:t>Alicia ya no. Feminismo, semiótica, cine</w:t>
      </w:r>
      <w:r>
        <w:t xml:space="preserve">, Valencia, Ediciones Cátedra. </w:t>
      </w:r>
    </w:p>
    <w:p w:rsidR="000671EA" w:rsidRDefault="000671EA">
      <w:pPr>
        <w:spacing w:line="360" w:lineRule="auto"/>
        <w:jc w:val="both"/>
      </w:pPr>
      <w:r>
        <w:rPr>
          <w:b/>
          <w:i/>
        </w:rPr>
        <w:t>de Lauretis, Teresa</w:t>
      </w:r>
      <w:r>
        <w:t xml:space="preserve"> (1996), “La tecnología del género”, revista </w:t>
      </w:r>
      <w:r>
        <w:rPr>
          <w:i/>
          <w:iCs/>
        </w:rPr>
        <w:t xml:space="preserve">Mora </w:t>
      </w:r>
      <w:r>
        <w:t>Nº 2, Instituto Interdisciplinario de Estudios de Género, Facultad de Filosofía y Letras, Universidad de Buenos Aires, pp. 6-34. </w:t>
      </w:r>
    </w:p>
    <w:p w:rsidR="000671EA" w:rsidRDefault="000671EA">
      <w:pPr>
        <w:spacing w:line="360" w:lineRule="auto"/>
        <w:jc w:val="both"/>
      </w:pPr>
      <w:r>
        <w:rPr>
          <w:b/>
          <w:i/>
        </w:rPr>
        <w:t>Farhi, Andrés</w:t>
      </w:r>
      <w:r>
        <w:t xml:space="preserve"> (2005), Una cuestión de representación. Los jóvenes en el cine argentino, 1983-1984, Buenos Aires, Libros del Rojas.</w:t>
      </w:r>
    </w:p>
    <w:p w:rsidR="000671EA" w:rsidRPr="00281E3F" w:rsidRDefault="000671EA" w:rsidP="004D50F6">
      <w:pPr>
        <w:spacing w:line="360" w:lineRule="auto"/>
        <w:contextualSpacing/>
        <w:jc w:val="both"/>
      </w:pPr>
      <w:r w:rsidRPr="00281E3F">
        <w:rPr>
          <w:b/>
          <w:i/>
        </w:rPr>
        <w:t xml:space="preserve">Ferro, Marc </w:t>
      </w:r>
      <w:r w:rsidRPr="00281E3F">
        <w:t xml:space="preserve">(1980); </w:t>
      </w:r>
      <w:r w:rsidRPr="00281E3F">
        <w:rPr>
          <w:i/>
        </w:rPr>
        <w:t>Cine e historia</w:t>
      </w:r>
      <w:r w:rsidRPr="00281E3F">
        <w:t>, Barcelona, Gustavo Gili.</w:t>
      </w:r>
    </w:p>
    <w:p w:rsidR="000671EA" w:rsidRDefault="000671EA">
      <w:pPr>
        <w:pStyle w:val="BodyText"/>
      </w:pPr>
      <w:r>
        <w:rPr>
          <w:b/>
          <w:i/>
        </w:rPr>
        <w:t>Goldstein, Miriam</w:t>
      </w:r>
      <w:r>
        <w:t xml:space="preserve"> (2005), “Mundo joven, mundo adulto”, en </w:t>
      </w:r>
      <w:r>
        <w:rPr>
          <w:i/>
          <w:iCs/>
        </w:rPr>
        <w:t xml:space="preserve">Cuadernos de cine argentino. Cuaderno 1. Modalidades y representaciones de sectores sociales en la pantalla, </w:t>
      </w:r>
      <w:r>
        <w:t>INCAA.</w:t>
      </w:r>
    </w:p>
    <w:p w:rsidR="000671EA" w:rsidRPr="00D93F7C" w:rsidRDefault="000671EA">
      <w:pPr>
        <w:spacing w:line="360" w:lineRule="auto"/>
        <w:jc w:val="both"/>
        <w:rPr>
          <w:lang w:val="en-US" w:eastAsia="es-AR"/>
        </w:rPr>
      </w:pPr>
      <w:r w:rsidRPr="00D93F7C">
        <w:rPr>
          <w:b/>
          <w:i/>
          <w:lang w:val="en-US"/>
        </w:rPr>
        <w:t xml:space="preserve">Hall, Stuart </w:t>
      </w:r>
      <w:r w:rsidRPr="00D93F7C">
        <w:rPr>
          <w:lang w:val="en-US"/>
        </w:rPr>
        <w:t xml:space="preserve">(1989), “Cultural Identity and Cinematic Representation”, </w:t>
      </w:r>
      <w:r w:rsidRPr="00D93F7C">
        <w:rPr>
          <w:i/>
          <w:iCs/>
          <w:lang w:val="en-US" w:eastAsia="es-AR"/>
        </w:rPr>
        <w:t xml:space="preserve">Framework: The Journal of Cinema and Media, </w:t>
      </w:r>
      <w:r w:rsidRPr="00D93F7C">
        <w:rPr>
          <w:lang w:val="en-US" w:eastAsia="es-AR"/>
        </w:rPr>
        <w:t xml:space="preserve"> N° 36, pp. 68-81.</w:t>
      </w:r>
    </w:p>
    <w:p w:rsidR="000671EA" w:rsidRDefault="000671EA">
      <w:pPr>
        <w:spacing w:line="360" w:lineRule="auto"/>
        <w:contextualSpacing/>
        <w:jc w:val="both"/>
      </w:pPr>
      <w:r>
        <w:rPr>
          <w:b/>
          <w:i/>
        </w:rPr>
        <w:t>Hall, Stuart; Du Gay, Paul</w:t>
      </w:r>
      <w:r>
        <w:t xml:space="preserve"> (2003); </w:t>
      </w:r>
      <w:r>
        <w:rPr>
          <w:i/>
          <w:iCs/>
        </w:rPr>
        <w:t>Cuestiones de identidad cultural</w:t>
      </w:r>
      <w:r>
        <w:t>, Buenos Aires, Amorrortu.</w:t>
      </w:r>
    </w:p>
    <w:p w:rsidR="000671EA" w:rsidRDefault="000671EA">
      <w:pPr>
        <w:spacing w:line="360" w:lineRule="auto"/>
        <w:jc w:val="both"/>
      </w:pPr>
      <w:r w:rsidRPr="00D93F7C">
        <w:rPr>
          <w:b/>
          <w:i/>
          <w:lang w:val="en-US"/>
        </w:rPr>
        <w:t>Hall, Stuart; Jefferson, Tony</w:t>
      </w:r>
      <w:r w:rsidRPr="00D93F7C">
        <w:rPr>
          <w:lang w:val="en-US"/>
        </w:rPr>
        <w:t xml:space="preserve"> (eds.) </w:t>
      </w:r>
      <w:r>
        <w:t xml:space="preserve">(2014), </w:t>
      </w:r>
      <w:r>
        <w:rPr>
          <w:i/>
        </w:rPr>
        <w:t xml:space="preserve">Rituales de </w:t>
      </w:r>
      <w:smartTag w:uri="urn:schemas-microsoft-com:office:smarttags" w:element="place">
        <w:smartTag w:uri="urn:schemas-microsoft-com:office:smarttags" w:element="City">
          <w:r>
            <w:rPr>
              <w:i/>
            </w:rPr>
            <w:t>resistencia</w:t>
          </w:r>
        </w:smartTag>
      </w:smartTag>
      <w:r>
        <w:rPr>
          <w:i/>
        </w:rPr>
        <w:t>. Subculturas juveniles en la Gran Bretaña de posguerra</w:t>
      </w:r>
      <w:r>
        <w:t>, Madrid, Traficantes de sueños.</w:t>
      </w:r>
    </w:p>
    <w:p w:rsidR="000671EA" w:rsidRDefault="000671EA">
      <w:pPr>
        <w:spacing w:line="360" w:lineRule="auto"/>
        <w:jc w:val="both"/>
      </w:pPr>
      <w:r>
        <w:rPr>
          <w:b/>
          <w:i/>
        </w:rPr>
        <w:t>Heller, Agnes</w:t>
      </w:r>
      <w:r>
        <w:t xml:space="preserve"> (1985), </w:t>
      </w:r>
      <w:r>
        <w:rPr>
          <w:i/>
        </w:rPr>
        <w:t>Historia y vida cotidiana</w:t>
      </w:r>
      <w:r>
        <w:t>, Grijalbo, México.</w:t>
      </w:r>
    </w:p>
    <w:p w:rsidR="000671EA" w:rsidRDefault="000671EA">
      <w:pPr>
        <w:spacing w:line="360" w:lineRule="auto"/>
        <w:jc w:val="both"/>
      </w:pPr>
      <w:r>
        <w:rPr>
          <w:b/>
          <w:i/>
        </w:rPr>
        <w:t>Heller, Agnes</w:t>
      </w:r>
      <w:r>
        <w:t xml:space="preserve"> (1994), </w:t>
      </w:r>
      <w:r>
        <w:rPr>
          <w:i/>
        </w:rPr>
        <w:t>Sociología de la vida cotidiana</w:t>
      </w:r>
      <w:r>
        <w:t>, Barcelona, Península.</w:t>
      </w:r>
    </w:p>
    <w:p w:rsidR="000671EA" w:rsidRPr="00D93F7C" w:rsidRDefault="000671EA">
      <w:pPr>
        <w:spacing w:line="360" w:lineRule="auto"/>
        <w:jc w:val="both"/>
      </w:pPr>
      <w:r>
        <w:rPr>
          <w:b/>
          <w:i/>
        </w:rPr>
        <w:t>Jost, Francois; Gaudreault, André</w:t>
      </w:r>
      <w:r>
        <w:t xml:space="preserve"> (1995). </w:t>
      </w:r>
      <w:r w:rsidRPr="00D93F7C">
        <w:rPr>
          <w:i/>
          <w:iCs/>
        </w:rPr>
        <w:t>El relato cinematográfico. Cine y narratología</w:t>
      </w:r>
      <w:r w:rsidRPr="00D93F7C">
        <w:t>,  Buenos Aires, Paidós.</w:t>
      </w:r>
    </w:p>
    <w:p w:rsidR="000671EA" w:rsidRDefault="000671EA">
      <w:pPr>
        <w:pStyle w:val="BodyText"/>
      </w:pPr>
      <w:r>
        <w:rPr>
          <w:b/>
          <w:i/>
        </w:rPr>
        <w:t>Kratje, Julia</w:t>
      </w:r>
      <w:r>
        <w:t xml:space="preserve"> (2013), “El cuerpo y la sexualidad como </w:t>
      </w:r>
      <w:r>
        <w:rPr>
          <w:i/>
        </w:rPr>
        <w:t>locus</w:t>
      </w:r>
      <w:r>
        <w:t xml:space="preserve"> de disputa. Aportes para una lectura crítica de las figuraciones fílmicas de las mujeres en el cine argentino”, </w:t>
      </w:r>
      <w:r>
        <w:rPr>
          <w:i/>
        </w:rPr>
        <w:t>Papeles de Trabajo</w:t>
      </w:r>
      <w:r>
        <w:t>, Año 7, segundo semestre.</w:t>
      </w:r>
    </w:p>
    <w:p w:rsidR="000671EA" w:rsidRDefault="000671EA">
      <w:pPr>
        <w:pStyle w:val="BodyText"/>
      </w:pPr>
      <w:r w:rsidRPr="00FF1A48">
        <w:rPr>
          <w:b/>
          <w:i/>
        </w:rPr>
        <w:t>Martín Barbero, Jesús</w:t>
      </w:r>
      <w:r>
        <w:t xml:space="preserve"> (1991), </w:t>
      </w:r>
      <w:r w:rsidRPr="00FF1A48">
        <w:rPr>
          <w:i/>
        </w:rPr>
        <w:t>De los medios a las mediaciones. Comunicación, cultura y hegemonía</w:t>
      </w:r>
      <w:r>
        <w:t>, Barcelona, Gustavo Gili.</w:t>
      </w:r>
    </w:p>
    <w:p w:rsidR="000671EA" w:rsidRDefault="000671EA" w:rsidP="00E06C56">
      <w:pPr>
        <w:spacing w:line="360" w:lineRule="auto"/>
        <w:jc w:val="both"/>
      </w:pPr>
      <w:r w:rsidRPr="00B901E4">
        <w:rPr>
          <w:b/>
          <w:i/>
        </w:rPr>
        <w:t>Metz, Christian</w:t>
      </w:r>
      <w:r w:rsidRPr="00B901E4">
        <w:rPr>
          <w:b/>
        </w:rPr>
        <w:t xml:space="preserve"> (1973), </w:t>
      </w:r>
      <w:r>
        <w:t xml:space="preserve"> </w:t>
      </w:r>
      <w:r w:rsidRPr="00B901E4">
        <w:rPr>
          <w:i/>
        </w:rPr>
        <w:t>Lenguaje y cine</w:t>
      </w:r>
      <w:r w:rsidRPr="00B901E4">
        <w:t>, Barcelona, Barcelona, Editorial Planeta.</w:t>
      </w:r>
    </w:p>
    <w:p w:rsidR="000671EA" w:rsidRPr="00281E3F" w:rsidRDefault="000671EA" w:rsidP="00BA7CA3">
      <w:pPr>
        <w:pStyle w:val="BodyText"/>
        <w:contextualSpacing/>
      </w:pPr>
      <w:r w:rsidRPr="00281E3F">
        <w:rPr>
          <w:b/>
          <w:i/>
        </w:rPr>
        <w:t>Metz, Christian</w:t>
      </w:r>
      <w:r w:rsidRPr="00281E3F">
        <w:t xml:space="preserve"> (2002a); </w:t>
      </w:r>
      <w:r w:rsidRPr="00281E3F">
        <w:rPr>
          <w:i/>
        </w:rPr>
        <w:t xml:space="preserve">Ensayos sobre la significación en el cine (1964-1968), </w:t>
      </w:r>
      <w:r w:rsidRPr="00281E3F">
        <w:t>Vol. 1, Barcelona, Paidós.</w:t>
      </w:r>
    </w:p>
    <w:p w:rsidR="000671EA" w:rsidRPr="00281E3F" w:rsidRDefault="000671EA" w:rsidP="00BA7CA3">
      <w:pPr>
        <w:pStyle w:val="BodyText"/>
        <w:contextualSpacing/>
      </w:pPr>
      <w:r w:rsidRPr="00281E3F">
        <w:rPr>
          <w:b/>
          <w:i/>
        </w:rPr>
        <w:t>Metz, Christian</w:t>
      </w:r>
      <w:r w:rsidRPr="00281E3F">
        <w:t xml:space="preserve"> (2002b); </w:t>
      </w:r>
      <w:r w:rsidRPr="00281E3F">
        <w:rPr>
          <w:i/>
        </w:rPr>
        <w:t>Ensayos sobre la significación en el cine (1968-1972),</w:t>
      </w:r>
      <w:r w:rsidRPr="00281E3F">
        <w:t xml:space="preserve"> Vol. 2,</w:t>
      </w:r>
      <w:r w:rsidRPr="00281E3F">
        <w:rPr>
          <w:i/>
        </w:rPr>
        <w:t xml:space="preserve"> </w:t>
      </w:r>
      <w:r w:rsidRPr="00281E3F">
        <w:t>Barcelona, Paidós.</w:t>
      </w:r>
    </w:p>
    <w:p w:rsidR="000671EA" w:rsidRDefault="000671EA">
      <w:pPr>
        <w:pStyle w:val="Heading2"/>
        <w:spacing w:line="360" w:lineRule="auto"/>
        <w:jc w:val="both"/>
        <w:textAlignment w:val="baseline"/>
        <w:rPr>
          <w:rFonts w:ascii="Times New Roman" w:hAnsi="Times New Roman" w:cs="Times New Roman"/>
          <w:color w:val="00000A"/>
          <w:sz w:val="24"/>
          <w:szCs w:val="24"/>
        </w:rPr>
      </w:pPr>
      <w:r>
        <w:rPr>
          <w:rFonts w:ascii="Times New Roman" w:hAnsi="Times New Roman" w:cs="Times New Roman"/>
          <w:b/>
          <w:i/>
          <w:color w:val="00000A"/>
          <w:sz w:val="24"/>
          <w:szCs w:val="24"/>
        </w:rPr>
        <w:t>Mulvey, Laura</w:t>
      </w:r>
      <w:r>
        <w:rPr>
          <w:rFonts w:ascii="Times New Roman" w:hAnsi="Times New Roman" w:cs="Times New Roman"/>
          <w:color w:val="00000A"/>
          <w:sz w:val="24"/>
          <w:szCs w:val="24"/>
        </w:rPr>
        <w:t xml:space="preserve"> (2001), “Placer visual y cine narrativo”, en Wallis, Brian (ed.); </w:t>
      </w:r>
      <w:r>
        <w:rPr>
          <w:rFonts w:ascii="Times New Roman" w:hAnsi="Times New Roman" w:cs="Times New Roman"/>
          <w:i/>
          <w:color w:val="00000A"/>
          <w:sz w:val="24"/>
          <w:szCs w:val="24"/>
        </w:rPr>
        <w:t>Arte después de la modernidad. Nuevos planteamientos en torno a la representación</w:t>
      </w:r>
      <w:r>
        <w:rPr>
          <w:rFonts w:ascii="Times New Roman" w:hAnsi="Times New Roman" w:cs="Times New Roman"/>
          <w:color w:val="00000A"/>
          <w:sz w:val="24"/>
          <w:szCs w:val="24"/>
        </w:rPr>
        <w:t>, Madrid, Akal.</w:t>
      </w:r>
    </w:p>
    <w:p w:rsidR="000671EA" w:rsidRDefault="000671EA">
      <w:pPr>
        <w:spacing w:line="360" w:lineRule="auto"/>
        <w:jc w:val="both"/>
      </w:pPr>
      <w:r>
        <w:rPr>
          <w:b/>
          <w:i/>
        </w:rPr>
        <w:t>Scott, Joan</w:t>
      </w:r>
      <w:r>
        <w:t xml:space="preserve"> (1988), “El género: una categoría útil para el análisis histórico”, en Cagiano, María Cecilia y Dubois, Lindsay (Comps.), De mujer a género. Teoría y práctica feminista en las ciencias sociales, Buenos Aires, Centro Editor de América Latina.</w:t>
      </w:r>
    </w:p>
    <w:p w:rsidR="000671EA" w:rsidRDefault="000671EA">
      <w:pPr>
        <w:spacing w:line="360" w:lineRule="auto"/>
        <w:contextualSpacing/>
        <w:jc w:val="both"/>
        <w:rPr>
          <w:lang w:val="en-US"/>
        </w:rPr>
      </w:pPr>
      <w:r>
        <w:rPr>
          <w:b/>
          <w:i/>
          <w:lang w:val="en-US"/>
        </w:rPr>
        <w:t>Silverman, Kaja</w:t>
      </w:r>
      <w:r>
        <w:rPr>
          <w:lang w:val="en-US"/>
        </w:rPr>
        <w:t xml:space="preserve"> (1988), </w:t>
      </w:r>
      <w:r>
        <w:rPr>
          <w:i/>
          <w:lang w:val="en-US"/>
        </w:rPr>
        <w:t>The acustic mirror. The Female Voice in Psychoanalysis and Cinema</w:t>
      </w:r>
      <w:r>
        <w:rPr>
          <w:lang w:val="en-US"/>
        </w:rPr>
        <w:t>, Boomington e Indianápolis, Indiana University Press.</w:t>
      </w:r>
    </w:p>
    <w:p w:rsidR="000671EA" w:rsidRPr="00281E3F" w:rsidRDefault="000671EA" w:rsidP="004D50F6">
      <w:pPr>
        <w:spacing w:line="360" w:lineRule="auto"/>
        <w:contextualSpacing/>
        <w:jc w:val="both"/>
      </w:pPr>
      <w:r w:rsidRPr="00281E3F">
        <w:rPr>
          <w:b/>
          <w:i/>
        </w:rPr>
        <w:t>Sorlin, Pierre</w:t>
      </w:r>
      <w:r w:rsidRPr="00281E3F">
        <w:t xml:space="preserve"> (1985); </w:t>
      </w:r>
      <w:r w:rsidRPr="00281E3F">
        <w:rPr>
          <w:i/>
        </w:rPr>
        <w:t>Sociología del cine</w:t>
      </w:r>
      <w:r w:rsidRPr="00281E3F">
        <w:t>, México, Fondo de Cultura Económica.</w:t>
      </w:r>
    </w:p>
    <w:p w:rsidR="000671EA" w:rsidRDefault="000671EA">
      <w:pPr>
        <w:spacing w:line="360" w:lineRule="auto"/>
        <w:jc w:val="both"/>
      </w:pPr>
      <w:r>
        <w:rPr>
          <w:b/>
          <w:i/>
        </w:rPr>
        <w:t>Voloshinov, Valentin</w:t>
      </w:r>
      <w:r>
        <w:t xml:space="preserve"> (1992); </w:t>
      </w:r>
      <w:r>
        <w:rPr>
          <w:i/>
        </w:rPr>
        <w:t>El marxismo y la filosofía del lenguaje</w:t>
      </w:r>
      <w:r>
        <w:t>, Madrid, Alianza.</w:t>
      </w:r>
    </w:p>
    <w:p w:rsidR="000671EA" w:rsidRDefault="000671EA">
      <w:pPr>
        <w:spacing w:line="360" w:lineRule="auto"/>
        <w:contextualSpacing/>
        <w:jc w:val="both"/>
      </w:pPr>
      <w:r>
        <w:rPr>
          <w:b/>
          <w:i/>
        </w:rPr>
        <w:t>Williams, Raymond</w:t>
      </w:r>
      <w:r>
        <w:t xml:space="preserve"> (1997); </w:t>
      </w:r>
      <w:r>
        <w:rPr>
          <w:i/>
          <w:iCs/>
        </w:rPr>
        <w:t>Marxismo y literatura</w:t>
      </w:r>
      <w:r>
        <w:t>, Barcelona, Península.</w:t>
      </w:r>
    </w:p>
    <w:p w:rsidR="000671EA" w:rsidRDefault="000671EA">
      <w:pPr>
        <w:spacing w:line="360" w:lineRule="auto"/>
        <w:jc w:val="both"/>
      </w:pPr>
    </w:p>
    <w:p w:rsidR="000671EA" w:rsidRDefault="000671EA">
      <w:pPr>
        <w:spacing w:line="360" w:lineRule="auto"/>
        <w:jc w:val="both"/>
      </w:pPr>
    </w:p>
    <w:sectPr w:rsidR="000671EA" w:rsidSect="00FE5645">
      <w:pgSz w:w="11907" w:h="16839" w:code="9"/>
      <w:pgMar w:top="1417" w:right="1701" w:bottom="1417"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imes">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5D4"/>
    <w:rsid w:val="000671EA"/>
    <w:rsid w:val="00073C59"/>
    <w:rsid w:val="002235D4"/>
    <w:rsid w:val="00255DD1"/>
    <w:rsid w:val="00281E3F"/>
    <w:rsid w:val="003142F3"/>
    <w:rsid w:val="00441F26"/>
    <w:rsid w:val="004D50F6"/>
    <w:rsid w:val="005614DF"/>
    <w:rsid w:val="00661BFE"/>
    <w:rsid w:val="007C4877"/>
    <w:rsid w:val="007F1603"/>
    <w:rsid w:val="00B901E4"/>
    <w:rsid w:val="00BA7CA3"/>
    <w:rsid w:val="00D93F7C"/>
    <w:rsid w:val="00E06C56"/>
    <w:rsid w:val="00E20B2F"/>
    <w:rsid w:val="00E875C0"/>
    <w:rsid w:val="00EA5B16"/>
    <w:rsid w:val="00F75F51"/>
    <w:rsid w:val="00FE5645"/>
    <w:rsid w:val="00FF1A4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s-ES" w:eastAsia="es-ES"/>
    </w:rPr>
  </w:style>
  <w:style w:type="paragraph" w:styleId="Heading1">
    <w:name w:val="heading 1"/>
    <w:basedOn w:val="Normal"/>
    <w:link w:val="Heading1Char"/>
    <w:uiPriority w:val="99"/>
    <w:qFormat/>
    <w:pPr>
      <w:spacing w:beforeAutospacing="1" w:afterAutospacing="1"/>
      <w:outlineLvl w:val="0"/>
    </w:pPr>
    <w:rPr>
      <w:b/>
      <w:bCs/>
      <w:sz w:val="48"/>
      <w:szCs w:val="48"/>
      <w:lang w:val="es-AR" w:eastAsia="es-AR"/>
    </w:rPr>
  </w:style>
  <w:style w:type="paragraph" w:styleId="Heading2">
    <w:name w:val="heading 2"/>
    <w:basedOn w:val="Normal"/>
    <w:next w:val="Normal"/>
    <w:link w:val="Heading2Char"/>
    <w:uiPriority w:val="99"/>
    <w:qFormat/>
    <w:pPr>
      <w:keepNext/>
      <w:keepLines/>
      <w:spacing w:before="40"/>
      <w:outlineLvl w:val="1"/>
    </w:pPr>
    <w:rPr>
      <w:rFonts w:ascii="Cambria" w:eastAsia="Calibri" w:hAnsi="Cambria" w:cs="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48"/>
      <w:szCs w:val="48"/>
      <w:lang w:eastAsia="es-AR"/>
    </w:rPr>
  </w:style>
  <w:style w:type="character" w:customStyle="1" w:styleId="Heading2Char">
    <w:name w:val="Heading 2 Char"/>
    <w:basedOn w:val="DefaultParagraphFont"/>
    <w:link w:val="Heading2"/>
    <w:uiPriority w:val="99"/>
    <w:semiHidden/>
    <w:locked/>
    <w:rPr>
      <w:rFonts w:ascii="Cambria" w:eastAsia="Times New Roman" w:hAnsi="Cambria" w:cs="Cambria"/>
      <w:color w:val="365F91"/>
      <w:sz w:val="26"/>
      <w:szCs w:val="26"/>
      <w:lang w:val="es-ES" w:eastAsia="es-ES"/>
    </w:rPr>
  </w:style>
  <w:style w:type="character" w:styleId="HTMLCite">
    <w:name w:val="HTML Cite"/>
    <w:basedOn w:val="DefaultParagraphFont"/>
    <w:uiPriority w:val="99"/>
    <w:semiHidden/>
    <w:rPr>
      <w:rFonts w:cs="Times New Roman"/>
      <w:i/>
      <w:iC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s-ES" w:eastAsia="es-ES"/>
    </w:rPr>
  </w:style>
  <w:style w:type="character" w:customStyle="1" w:styleId="normaltextrun">
    <w:name w:val="normaltextrun"/>
    <w:basedOn w:val="DefaultParagraphFont"/>
    <w:uiPriority w:val="99"/>
    <w:rPr>
      <w:rFonts w:cs="Times New Roman"/>
    </w:rPr>
  </w:style>
  <w:style w:type="paragraph" w:styleId="Title">
    <w:name w:val="Title"/>
    <w:basedOn w:val="Normal"/>
    <w:next w:val="BodyText"/>
    <w:link w:val="TitleChar"/>
    <w:uiPriority w:val="99"/>
    <w:qFormat/>
    <w:rsid w:val="00255DD1"/>
    <w:pPr>
      <w:keepNext/>
      <w:spacing w:before="240" w:after="120"/>
    </w:pPr>
    <w:rPr>
      <w:rFonts w:ascii="Liberation Sans" w:eastAsia="Calibri" w:hAnsi="Liberation Sans" w:cs="Mangal"/>
      <w:sz w:val="28"/>
      <w:szCs w:val="28"/>
    </w:rPr>
  </w:style>
  <w:style w:type="character" w:customStyle="1" w:styleId="TitleChar">
    <w:name w:val="Title Char"/>
    <w:basedOn w:val="DefaultParagraphFont"/>
    <w:link w:val="Title"/>
    <w:uiPriority w:val="10"/>
    <w:rsid w:val="00912EA4"/>
    <w:rPr>
      <w:rFonts w:asciiTheme="majorHAnsi" w:eastAsiaTheme="majorEastAsia" w:hAnsiTheme="majorHAnsi" w:cstheme="majorBidi"/>
      <w:b/>
      <w:bCs/>
      <w:kern w:val="28"/>
      <w:sz w:val="32"/>
      <w:szCs w:val="32"/>
      <w:lang w:val="es-ES" w:eastAsia="es-ES"/>
    </w:rPr>
  </w:style>
  <w:style w:type="paragraph" w:styleId="BodyText">
    <w:name w:val="Body Text"/>
    <w:basedOn w:val="Normal"/>
    <w:link w:val="BodyTextChar"/>
    <w:uiPriority w:val="99"/>
    <w:semiHidden/>
    <w:pPr>
      <w:spacing w:line="360" w:lineRule="auto"/>
      <w:jc w:val="both"/>
    </w:pPr>
  </w:style>
  <w:style w:type="character" w:customStyle="1" w:styleId="BodyTextChar1">
    <w:name w:val="Body Text Char1"/>
    <w:basedOn w:val="DefaultParagraphFont"/>
    <w:link w:val="BodyText"/>
    <w:uiPriority w:val="99"/>
    <w:semiHidden/>
    <w:rsid w:val="00912EA4"/>
    <w:rPr>
      <w:rFonts w:ascii="Times New Roman" w:eastAsia="Times New Roman" w:hAnsi="Times New Roman" w:cs="Times New Roman"/>
      <w:sz w:val="24"/>
      <w:szCs w:val="24"/>
      <w:lang w:val="es-ES" w:eastAsia="es-ES"/>
    </w:rPr>
  </w:style>
  <w:style w:type="paragraph" w:styleId="List">
    <w:name w:val="List"/>
    <w:basedOn w:val="BodyText"/>
    <w:uiPriority w:val="99"/>
    <w:rsid w:val="00255DD1"/>
    <w:rPr>
      <w:rFonts w:cs="Mangal"/>
    </w:rPr>
  </w:style>
  <w:style w:type="paragraph" w:styleId="Caption">
    <w:name w:val="caption"/>
    <w:basedOn w:val="Normal"/>
    <w:uiPriority w:val="99"/>
    <w:qFormat/>
    <w:rsid w:val="00255DD1"/>
    <w:pPr>
      <w:suppressLineNumbers/>
      <w:spacing w:before="120" w:after="120"/>
    </w:pPr>
    <w:rPr>
      <w:rFonts w:cs="Mangal"/>
      <w:i/>
      <w:iCs/>
    </w:rPr>
  </w:style>
  <w:style w:type="paragraph" w:customStyle="1" w:styleId="ndice">
    <w:name w:val="Índice"/>
    <w:basedOn w:val="Normal"/>
    <w:uiPriority w:val="99"/>
    <w:rsid w:val="00255DD1"/>
    <w:pPr>
      <w:suppressLineNumbers/>
    </w:pPr>
    <w:rPr>
      <w:rFonts w:cs="Mangal"/>
    </w:rPr>
  </w:style>
  <w:style w:type="paragraph" w:styleId="BalloonText">
    <w:name w:val="Balloon Text"/>
    <w:basedOn w:val="Normal"/>
    <w:link w:val="BalloonTextChar"/>
    <w:uiPriority w:val="99"/>
    <w:semiHidden/>
    <w:rsid w:val="00FE564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5645"/>
    <w:rPr>
      <w:rFonts w:ascii="Segoe U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1536</Words>
  <Characters>8453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 de Inscripción Docente</dc:title>
  <dc:subject/>
  <dc:creator>Sebito</dc:creator>
  <cp:keywords/>
  <dc:description/>
  <cp:lastModifiedBy>.</cp:lastModifiedBy>
  <cp:revision>3</cp:revision>
  <cp:lastPrinted>2017-08-17T02:32:00Z</cp:lastPrinted>
  <dcterms:created xsi:type="dcterms:W3CDTF">2017-08-17T11:27:00Z</dcterms:created>
  <dcterms:modified xsi:type="dcterms:W3CDTF">2017-08-17T11:29:00Z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